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C42" w14:textId="3CDEBF2F" w:rsidR="00CA61EC" w:rsidRPr="00645B6D" w:rsidRDefault="0003584B" w:rsidP="006609F1">
      <w:pPr>
        <w:spacing w:after="0"/>
        <w:rPr>
          <w:rFonts w:asciiTheme="majorHAnsi" w:hAnsiTheme="majorHAnsi" w:cstheme="majorHAnsi"/>
          <w:color w:val="FFFF00"/>
          <w:sz w:val="72"/>
          <w:szCs w:val="72"/>
          <w:lang w:val="sk-SK"/>
        </w:rPr>
      </w:pPr>
      <w:r w:rsidRPr="00645B6D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                  </w:t>
      </w:r>
      <w:r w:rsidR="009B01E5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           </w:t>
      </w:r>
      <w:r w:rsidRPr="00645B6D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</w:t>
      </w:r>
      <w:r w:rsidR="009B01E5">
        <w:rPr>
          <w:rFonts w:asciiTheme="majorHAnsi" w:hAnsiTheme="majorHAnsi" w:cstheme="majorHAnsi"/>
          <w:noProof/>
          <w:sz w:val="20"/>
          <w:szCs w:val="20"/>
          <w:lang w:val="sk-SK"/>
        </w:rPr>
        <w:drawing>
          <wp:inline distT="0" distB="0" distL="0" distR="0" wp14:anchorId="2A1EA265" wp14:editId="4F4179C3">
            <wp:extent cx="2992350" cy="1191190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93" cy="121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1D3" w:rsidRPr="00645B6D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                                                  </w:t>
      </w:r>
      <w:r w:rsidRPr="00645B6D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 </w:t>
      </w:r>
      <w:r w:rsidR="009341D3" w:rsidRPr="00645B6D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              </w:t>
      </w:r>
      <w:r w:rsidR="00C43204" w:rsidRPr="00645B6D">
        <w:rPr>
          <w:rFonts w:asciiTheme="majorHAnsi" w:hAnsiTheme="majorHAnsi" w:cstheme="majorHAnsi"/>
          <w:color w:val="FFFF00"/>
          <w:sz w:val="72"/>
          <w:szCs w:val="72"/>
          <w:lang w:val="sk-SK"/>
        </w:rPr>
        <w:t xml:space="preserve">          </w:t>
      </w:r>
    </w:p>
    <w:p w14:paraId="22E816E2" w14:textId="05FBE6C0" w:rsidR="0003584B" w:rsidRPr="00E818D9" w:rsidRDefault="0003584B" w:rsidP="009B01E5">
      <w:pPr>
        <w:spacing w:after="40"/>
        <w:rPr>
          <w:rFonts w:asciiTheme="majorHAnsi" w:hAnsiTheme="majorHAnsi" w:cstheme="majorHAnsi"/>
          <w:b/>
          <w:bCs/>
          <w:color w:val="FFFF00"/>
          <w:sz w:val="20"/>
          <w:szCs w:val="20"/>
          <w:lang w:val="sk-SK"/>
        </w:rPr>
      </w:pPr>
    </w:p>
    <w:p w14:paraId="63346809" w14:textId="77777777" w:rsidR="006609F1" w:rsidRDefault="0003584B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Technický list:                                                  </w:t>
      </w:r>
      <w:proofErr w:type="spellStart"/>
      <w:r w:rsidRPr="008C69A3">
        <w:rPr>
          <w:rFonts w:asciiTheme="majorHAnsi" w:hAnsiTheme="majorHAnsi" w:cstheme="majorHAnsi"/>
          <w:b/>
          <w:bCs/>
          <w:sz w:val="32"/>
          <w:szCs w:val="32"/>
          <w:lang w:val="sk-SK"/>
        </w:rPr>
        <w:t>Cyklon</w:t>
      </w:r>
      <w:proofErr w:type="spellEnd"/>
      <w:r w:rsidRPr="008C69A3">
        <w:rPr>
          <w:rFonts w:asciiTheme="majorHAnsi" w:hAnsiTheme="majorHAnsi" w:cstheme="majorHAnsi"/>
          <w:b/>
          <w:bCs/>
          <w:sz w:val="32"/>
          <w:szCs w:val="32"/>
          <w:lang w:val="sk-SK"/>
        </w:rPr>
        <w:t xml:space="preserve"> </w:t>
      </w:r>
      <w:proofErr w:type="spellStart"/>
      <w:r w:rsidRPr="008C69A3">
        <w:rPr>
          <w:rFonts w:asciiTheme="majorHAnsi" w:hAnsiTheme="majorHAnsi" w:cstheme="majorHAnsi"/>
          <w:b/>
          <w:bCs/>
          <w:sz w:val="32"/>
          <w:szCs w:val="32"/>
          <w:lang w:val="sk-SK"/>
        </w:rPr>
        <w:t>butylový</w:t>
      </w:r>
      <w:proofErr w:type="spellEnd"/>
      <w:r w:rsidRPr="008C69A3">
        <w:rPr>
          <w:rFonts w:asciiTheme="majorHAnsi" w:hAnsiTheme="majorHAnsi" w:cstheme="majorHAnsi"/>
          <w:b/>
          <w:bCs/>
          <w:sz w:val="32"/>
          <w:szCs w:val="32"/>
          <w:lang w:val="sk-SK"/>
        </w:rPr>
        <w:t xml:space="preserve"> tmel</w:t>
      </w:r>
      <w:r w:rsidR="00F04ACE" w:rsidRPr="008C69A3">
        <w:rPr>
          <w:rFonts w:asciiTheme="majorHAnsi" w:hAnsiTheme="majorHAnsi" w:cstheme="majorHAnsi"/>
          <w:b/>
          <w:bCs/>
          <w:sz w:val="32"/>
          <w:szCs w:val="32"/>
          <w:lang w:val="sk-SK"/>
        </w:rPr>
        <w:t xml:space="preserve"> </w:t>
      </w:r>
      <w:r w:rsidR="00180BBD" w:rsidRPr="008C69A3">
        <w:rPr>
          <w:rFonts w:asciiTheme="majorHAnsi" w:hAnsiTheme="majorHAnsi" w:cstheme="majorHAnsi"/>
          <w:b/>
          <w:bCs/>
          <w:sz w:val="32"/>
          <w:szCs w:val="32"/>
          <w:lang w:val="sk-SK"/>
        </w:rPr>
        <w:t>600ml</w:t>
      </w:r>
    </w:p>
    <w:p w14:paraId="74982578" w14:textId="7CAF1137" w:rsidR="0003584B" w:rsidRPr="006609F1" w:rsidRDefault="0003584B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Číslo tovaru: </w:t>
      </w:r>
      <w:r w:rsidR="00180BBD" w:rsidRPr="00E818D9">
        <w:rPr>
          <w:rFonts w:asciiTheme="majorHAnsi" w:hAnsiTheme="majorHAnsi" w:cstheme="majorHAnsi"/>
          <w:sz w:val="20"/>
          <w:szCs w:val="20"/>
          <w:lang w:val="sk-SK"/>
        </w:rPr>
        <w:t>1909601</w:t>
      </w:r>
    </w:p>
    <w:p w14:paraId="55803908" w14:textId="77777777" w:rsidR="0002062F" w:rsidRDefault="0002062F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p w14:paraId="7B64339A" w14:textId="6C42B0A9" w:rsidR="006D0788" w:rsidRDefault="0003584B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proofErr w:type="spellStart"/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>Cyklon</w:t>
      </w:r>
      <w:proofErr w:type="spellEnd"/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>butylový</w:t>
      </w:r>
      <w:proofErr w:type="spellEnd"/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tmel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je jednozložkový tesniaci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špárovací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tmel na báze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polybutylénu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>.</w:t>
      </w:r>
    </w:p>
    <w:p w14:paraId="03F61C77" w14:textId="413DD013" w:rsidR="003E3CDA" w:rsidRPr="006D0788" w:rsidRDefault="003E3CDA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>Oblasti použitia</w:t>
      </w:r>
    </w:p>
    <w:p w14:paraId="784EEF50" w14:textId="32220941" w:rsidR="003E3CDA" w:rsidRPr="00E818D9" w:rsidRDefault="003E3CDA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Na tmelenie stavebných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, obvodových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v</w:t>
      </w:r>
      <w:r w:rsidR="00BF1EC3" w:rsidRPr="00E818D9">
        <w:rPr>
          <w:rFonts w:asciiTheme="majorHAnsi" w:hAnsiTheme="majorHAnsi" w:cstheme="majorHAnsi"/>
          <w:sz w:val="20"/>
          <w:szCs w:val="20"/>
          <w:lang w:val="sk-SK"/>
        </w:rPr>
        <w:t> 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>betóne</w:t>
      </w:r>
      <w:r w:rsidR="00BF1EC3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medzi murivom a betónom.</w:t>
      </w:r>
    </w:p>
    <w:p w14:paraId="54183FB9" w14:textId="5ED86BF0" w:rsidR="00BF1EC3" w:rsidRPr="00E818D9" w:rsidRDefault="00BF1EC3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V exteriéry aj ako sklenársky tmel pri zasklievaní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sklenníkov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>.</w:t>
      </w:r>
    </w:p>
    <w:p w14:paraId="35FB8AEE" w14:textId="5EC9C90B" w:rsidR="00BF1EC3" w:rsidRPr="00E818D9" w:rsidRDefault="00BF1EC3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Tmelenie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s malým dilatačným pohybom, ktoré sú vystavené malému mechanickému pôsobeniu.</w:t>
      </w:r>
    </w:p>
    <w:p w14:paraId="31C00580" w14:textId="0E4BFA9C" w:rsidR="00BF1EC3" w:rsidRPr="00E818D9" w:rsidRDefault="00BF1EC3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Balenie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>saláma 600ml</w:t>
      </w:r>
    </w:p>
    <w:p w14:paraId="428C5904" w14:textId="32413AA5" w:rsidR="00BF1EC3" w:rsidRPr="00E818D9" w:rsidRDefault="00BF1EC3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u w:val="single"/>
          <w:lang w:val="sk-SK"/>
        </w:rPr>
        <w:t>Farba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šedá</w:t>
      </w:r>
    </w:p>
    <w:p w14:paraId="7C63D686" w14:textId="77777777" w:rsidR="006D0788" w:rsidRDefault="00BF1EC3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u w:val="single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u w:val="single"/>
          <w:lang w:val="sk-SK"/>
        </w:rPr>
        <w:t>Technické údaje</w:t>
      </w:r>
    </w:p>
    <w:p w14:paraId="4449BCF3" w14:textId="6A9DBD75" w:rsidR="00BF1EC3" w:rsidRPr="006D0788" w:rsidRDefault="00BF1EC3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u w:val="single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Základ -                 </w:t>
      </w:r>
      <w:r w:rsidR="00553FBF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  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polybutylén</w:t>
      </w:r>
      <w:proofErr w:type="spellEnd"/>
    </w:p>
    <w:p w14:paraId="44ADE188" w14:textId="2988894D" w:rsidR="00BF1EC3" w:rsidRPr="00E818D9" w:rsidRDefault="00553FBF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Konzistencia -            </w:t>
      </w:r>
      <w:r w:rsidR="001D00E0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 </w:t>
      </w:r>
      <w:proofErr w:type="spellStart"/>
      <w:r w:rsidR="00881BBB">
        <w:rPr>
          <w:rFonts w:asciiTheme="majorHAnsi" w:hAnsiTheme="majorHAnsi" w:cstheme="majorHAnsi"/>
          <w:sz w:val="20"/>
          <w:szCs w:val="20"/>
          <w:lang w:val="sk-SK"/>
        </w:rPr>
        <w:t>toxitropná</w:t>
      </w:r>
      <w:proofErr w:type="spellEnd"/>
      <w:r w:rsidR="00881BBB">
        <w:rPr>
          <w:rFonts w:asciiTheme="majorHAnsi" w:hAnsiTheme="majorHAnsi" w:cstheme="majorHAnsi"/>
          <w:sz w:val="20"/>
          <w:szCs w:val="20"/>
          <w:lang w:val="sk-SK"/>
        </w:rPr>
        <w:t xml:space="preserve"> pasta</w:t>
      </w:r>
    </w:p>
    <w:p w14:paraId="78C68040" w14:textId="0821FFA2" w:rsidR="00B44093" w:rsidRPr="00E818D9" w:rsidRDefault="00B44093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Hustota </w:t>
      </w:r>
      <w:r w:rsidR="00221090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g/ml            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       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221090" w:rsidRPr="00E818D9">
        <w:rPr>
          <w:rFonts w:asciiTheme="majorHAnsi" w:hAnsiTheme="majorHAnsi" w:cstheme="majorHAnsi"/>
          <w:sz w:val="20"/>
          <w:szCs w:val="20"/>
          <w:lang w:val="sk-SK"/>
        </w:rPr>
        <w:t>1,7 – 1,8</w:t>
      </w:r>
    </w:p>
    <w:p w14:paraId="57F232B5" w14:textId="32B8FD97" w:rsidR="00221090" w:rsidRPr="00E818D9" w:rsidRDefault="00221090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>Sušina</w:t>
      </w:r>
      <w:r w:rsidR="006D22B4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%                 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       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D22B4" w:rsidRPr="00E818D9">
        <w:rPr>
          <w:rFonts w:asciiTheme="majorHAnsi" w:hAnsiTheme="majorHAnsi" w:cstheme="majorHAnsi"/>
          <w:sz w:val="20"/>
          <w:szCs w:val="20"/>
          <w:lang w:val="sk-SK"/>
        </w:rPr>
        <w:t>98</w:t>
      </w:r>
    </w:p>
    <w:p w14:paraId="1760C158" w14:textId="7417AC9F" w:rsidR="006D22B4" w:rsidRPr="00E818D9" w:rsidRDefault="006D22B4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Tepelná odolnosť </w:t>
      </w:r>
      <w:r w:rsidR="001F5E17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°C            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      </w:t>
      </w:r>
      <w:r w:rsidR="009F292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215E7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0A29BC" w:rsidRPr="00E818D9">
        <w:rPr>
          <w:rFonts w:asciiTheme="majorHAnsi" w:hAnsiTheme="majorHAnsi" w:cstheme="majorHAnsi"/>
          <w:sz w:val="20"/>
          <w:szCs w:val="20"/>
          <w:lang w:val="sk-SK"/>
        </w:rPr>
        <w:t>-20 / +75  (po vytvrdnutí)</w:t>
      </w:r>
    </w:p>
    <w:p w14:paraId="6CDF673E" w14:textId="51C75F89" w:rsidR="000A29BC" w:rsidRPr="00E818D9" w:rsidRDefault="001F5E17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Tepelná odolnosť  °C           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   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CF67B7" w:rsidRPr="00E818D9">
        <w:rPr>
          <w:rFonts w:asciiTheme="majorHAnsi" w:hAnsiTheme="majorHAnsi" w:cstheme="majorHAnsi"/>
          <w:sz w:val="20"/>
          <w:szCs w:val="20"/>
          <w:lang w:val="sk-SK"/>
        </w:rPr>
        <w:t>-15             (pri preprave)</w:t>
      </w:r>
    </w:p>
    <w:p w14:paraId="010AB406" w14:textId="1D5E9D5B" w:rsidR="00CF67B7" w:rsidRPr="00E818D9" w:rsidRDefault="00CF67B7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Aplikačná teplota  °C           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   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1B6E2F" w:rsidRPr="00E818D9">
        <w:rPr>
          <w:rFonts w:asciiTheme="majorHAnsi" w:hAnsiTheme="majorHAnsi" w:cstheme="majorHAnsi"/>
          <w:sz w:val="20"/>
          <w:szCs w:val="20"/>
          <w:lang w:val="sk-SK"/>
        </w:rPr>
        <w:t>+5 / +40</w:t>
      </w:r>
    </w:p>
    <w:p w14:paraId="2DB6B3AF" w14:textId="5E1CE840" w:rsidR="001B6E2F" w:rsidRPr="00E818D9" w:rsidRDefault="001B6E2F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Tvorba povrchovej </w:t>
      </w:r>
      <w:r w:rsidR="000A6448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šupky </w:t>
      </w:r>
      <w:r w:rsidR="00E06229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hodín       </w:t>
      </w:r>
      <w:r w:rsidR="00645B6D">
        <w:rPr>
          <w:rFonts w:asciiTheme="majorHAnsi" w:hAnsiTheme="majorHAnsi" w:cstheme="majorHAnsi"/>
          <w:sz w:val="20"/>
          <w:szCs w:val="20"/>
          <w:lang w:val="sk-SK"/>
        </w:rPr>
        <w:t xml:space="preserve">      </w:t>
      </w:r>
      <w:r w:rsidR="00E06229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4</w:t>
      </w:r>
      <w:r w:rsidR="00881BBB">
        <w:rPr>
          <w:rFonts w:asciiTheme="majorHAnsi" w:hAnsiTheme="majorHAnsi" w:cstheme="majorHAnsi"/>
          <w:sz w:val="20"/>
          <w:szCs w:val="20"/>
          <w:lang w:val="sk-SK"/>
        </w:rPr>
        <w:t xml:space="preserve">8 </w:t>
      </w:r>
      <w:r w:rsidR="00E06229" w:rsidRPr="00E818D9">
        <w:rPr>
          <w:rFonts w:asciiTheme="majorHAnsi" w:hAnsiTheme="majorHAnsi" w:cstheme="majorHAnsi"/>
          <w:sz w:val="20"/>
          <w:szCs w:val="20"/>
          <w:lang w:val="sk-SK"/>
        </w:rPr>
        <w:t>hodín</w:t>
      </w:r>
      <w:r w:rsidR="00EE3783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( pri 23°</w:t>
      </w:r>
      <w:r w:rsidR="005260F7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C / 55% </w:t>
      </w:r>
      <w:proofErr w:type="spellStart"/>
      <w:r w:rsidR="005260F7" w:rsidRPr="00E818D9">
        <w:rPr>
          <w:rFonts w:asciiTheme="majorHAnsi" w:hAnsiTheme="majorHAnsi" w:cstheme="majorHAnsi"/>
          <w:sz w:val="20"/>
          <w:szCs w:val="20"/>
          <w:lang w:val="sk-SK"/>
        </w:rPr>
        <w:t>rel</w:t>
      </w:r>
      <w:proofErr w:type="spellEnd"/>
      <w:r w:rsidR="005260F7" w:rsidRPr="00E818D9">
        <w:rPr>
          <w:rFonts w:asciiTheme="majorHAnsi" w:hAnsiTheme="majorHAnsi" w:cstheme="majorHAnsi"/>
          <w:sz w:val="20"/>
          <w:szCs w:val="20"/>
          <w:lang w:val="sk-SK"/>
        </w:rPr>
        <w:t>. vlhkosti)</w:t>
      </w:r>
    </w:p>
    <w:p w14:paraId="4C1CD643" w14:textId="2AAC3D27" w:rsidR="005260F7" w:rsidRPr="00E818D9" w:rsidRDefault="00CC0C51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Dilatačná schopnosť %                         </w:t>
      </w:r>
      <w:r w:rsidR="009F2929">
        <w:rPr>
          <w:rFonts w:asciiTheme="majorHAnsi" w:hAnsiTheme="majorHAnsi" w:cstheme="majorHAnsi"/>
          <w:sz w:val="20"/>
          <w:szCs w:val="20"/>
          <w:lang w:val="sk-SK"/>
        </w:rPr>
        <w:t xml:space="preserve">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807377" w:rsidRPr="00E818D9">
        <w:rPr>
          <w:rFonts w:asciiTheme="majorHAnsi" w:hAnsiTheme="majorHAnsi" w:cstheme="majorHAnsi"/>
          <w:sz w:val="20"/>
          <w:szCs w:val="20"/>
          <w:lang w:val="sk-SK"/>
        </w:rPr>
        <w:t>-</w:t>
      </w:r>
      <w:r w:rsidR="00392B44" w:rsidRPr="00E818D9">
        <w:rPr>
          <w:rFonts w:asciiTheme="majorHAnsi" w:hAnsiTheme="majorHAnsi" w:cstheme="majorHAnsi"/>
          <w:sz w:val="20"/>
          <w:szCs w:val="20"/>
          <w:lang w:val="sk-SK"/>
        </w:rPr>
        <w:t>+</w:t>
      </w:r>
      <w:r w:rsidR="00AF034F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6,0 </w:t>
      </w:r>
    </w:p>
    <w:p w14:paraId="58B9084D" w14:textId="6EA3B644" w:rsidR="00392B44" w:rsidRPr="00E818D9" w:rsidRDefault="002F6637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Stekavosť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D467F9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mm</w:t>
      </w:r>
      <w:r w:rsidR="00263948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</w:t>
      </w:r>
      <w:r w:rsidR="00B71420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</w:t>
      </w:r>
      <w:r w:rsidR="009F2929">
        <w:rPr>
          <w:rFonts w:asciiTheme="majorHAnsi" w:hAnsiTheme="majorHAnsi" w:cstheme="majorHAnsi"/>
          <w:sz w:val="20"/>
          <w:szCs w:val="20"/>
          <w:lang w:val="sk-SK"/>
        </w:rPr>
        <w:t xml:space="preserve">       </w:t>
      </w:r>
      <w:r w:rsidR="00B71420" w:rsidRPr="00E818D9">
        <w:rPr>
          <w:rFonts w:asciiTheme="majorHAnsi" w:hAnsiTheme="majorHAnsi" w:cstheme="majorHAnsi"/>
          <w:sz w:val="20"/>
          <w:szCs w:val="20"/>
          <w:lang w:val="sk-SK"/>
        </w:rPr>
        <w:t>2</w:t>
      </w:r>
      <w:r w:rsidR="004D029C">
        <w:rPr>
          <w:rFonts w:asciiTheme="majorHAnsi" w:hAnsiTheme="majorHAnsi" w:cstheme="majorHAnsi"/>
          <w:sz w:val="20"/>
          <w:szCs w:val="20"/>
          <w:lang w:val="sk-SK"/>
        </w:rPr>
        <w:t xml:space="preserve">   /ISO </w:t>
      </w:r>
      <w:r w:rsidR="00D43496">
        <w:rPr>
          <w:rFonts w:asciiTheme="majorHAnsi" w:hAnsiTheme="majorHAnsi" w:cstheme="majorHAnsi"/>
          <w:sz w:val="20"/>
          <w:szCs w:val="20"/>
          <w:lang w:val="sk-SK"/>
        </w:rPr>
        <w:t>45001/</w:t>
      </w:r>
    </w:p>
    <w:p w14:paraId="39F52929" w14:textId="7E9C19AE" w:rsidR="009E10B9" w:rsidRPr="00E818D9" w:rsidRDefault="00CA16FE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Skladovatelnosť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</w:t>
      </w:r>
      <w:r w:rsidR="00D467F9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mesiace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</w:t>
      </w:r>
      <w:r w:rsidR="009F2929">
        <w:rPr>
          <w:rFonts w:asciiTheme="majorHAnsi" w:hAnsiTheme="majorHAnsi" w:cstheme="majorHAnsi"/>
          <w:sz w:val="20"/>
          <w:szCs w:val="20"/>
          <w:lang w:val="sk-SK"/>
        </w:rPr>
        <w:t xml:space="preserve">          </w:t>
      </w:r>
      <w:r w:rsidR="009E10B9" w:rsidRPr="00E818D9">
        <w:rPr>
          <w:rFonts w:asciiTheme="majorHAnsi" w:hAnsiTheme="majorHAnsi" w:cstheme="majorHAnsi"/>
          <w:sz w:val="20"/>
          <w:szCs w:val="20"/>
          <w:lang w:val="sk-SK"/>
        </w:rPr>
        <w:t>2</w:t>
      </w:r>
      <w:r w:rsidR="00B71420" w:rsidRPr="00E818D9">
        <w:rPr>
          <w:rFonts w:asciiTheme="majorHAnsi" w:hAnsiTheme="majorHAnsi" w:cstheme="majorHAnsi"/>
          <w:sz w:val="20"/>
          <w:szCs w:val="20"/>
          <w:lang w:val="sk-SK"/>
        </w:rPr>
        <w:t>4   (pri teplotách od +5°C do +25°C )</w:t>
      </w:r>
    </w:p>
    <w:p w14:paraId="27EB1D3A" w14:textId="65B78F19" w:rsidR="00B71420" w:rsidRPr="00E818D9" w:rsidRDefault="00C60CED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Minimálna šírka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špáry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mm               </w:t>
      </w:r>
      <w:r w:rsidR="009F2929">
        <w:rPr>
          <w:rFonts w:asciiTheme="majorHAnsi" w:hAnsiTheme="majorHAnsi" w:cstheme="majorHAnsi"/>
          <w:sz w:val="20"/>
          <w:szCs w:val="20"/>
          <w:lang w:val="sk-SK"/>
        </w:rPr>
        <w:t xml:space="preserve">     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>4</w:t>
      </w:r>
    </w:p>
    <w:p w14:paraId="69B471A4" w14:textId="163B7E29" w:rsidR="00C60CED" w:rsidRPr="00E818D9" w:rsidRDefault="00C60CED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Maximálna šírka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špáry</w:t>
      </w:r>
      <w:proofErr w:type="spellEnd"/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mm              </w:t>
      </w:r>
      <w:r w:rsidR="009F2929">
        <w:rPr>
          <w:rFonts w:asciiTheme="majorHAnsi" w:hAnsiTheme="majorHAnsi" w:cstheme="majorHAnsi"/>
          <w:sz w:val="20"/>
          <w:szCs w:val="20"/>
          <w:lang w:val="sk-SK"/>
        </w:rPr>
        <w:t xml:space="preserve">     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>24</w:t>
      </w:r>
    </w:p>
    <w:p w14:paraId="59EE31B5" w14:textId="2BC3BE48" w:rsidR="00EE09F0" w:rsidRPr="00E818D9" w:rsidRDefault="00EE09F0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Približná spotreba vzorec                                           </w:t>
      </w:r>
      <w:r w:rsidR="00F04AC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</w:t>
      </w:r>
      <w:r w:rsidR="00A1142B" w:rsidRPr="00E818D9">
        <w:rPr>
          <w:rFonts w:asciiTheme="majorHAnsi" w:hAnsiTheme="majorHAnsi" w:cstheme="majorHAnsi"/>
          <w:sz w:val="20"/>
          <w:szCs w:val="20"/>
          <w:lang w:val="sk-SK"/>
        </w:rPr>
        <w:t>obsah (ml)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</w:t>
      </w:r>
    </w:p>
    <w:p w14:paraId="732D583C" w14:textId="600943BF" w:rsidR="00303F8B" w:rsidRPr="00E818D9" w:rsidRDefault="00303F8B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                     </w:t>
      </w:r>
      <w:r w:rsidR="0087400C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d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ĺžka </w:t>
      </w:r>
      <w:proofErr w:type="spellStart"/>
      <w:r w:rsidRPr="00E818D9">
        <w:rPr>
          <w:rFonts w:asciiTheme="majorHAnsi" w:hAnsiTheme="majorHAnsi" w:cstheme="majorHAnsi"/>
          <w:sz w:val="20"/>
          <w:szCs w:val="20"/>
          <w:lang w:val="sk-SK"/>
        </w:rPr>
        <w:t>špáry</w:t>
      </w:r>
      <w:proofErr w:type="spellEnd"/>
      <w:r w:rsidR="00A1142B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(m) </w:t>
      </w:r>
      <w:r w:rsidR="00100F5D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= </w:t>
      </w:r>
      <w:r w:rsidR="00F04ACE" w:rsidRPr="00E818D9">
        <w:rPr>
          <w:rFonts w:asciiTheme="majorHAnsi" w:hAnsiTheme="majorHAnsi" w:cstheme="majorHAnsi"/>
          <w:sz w:val="20"/>
          <w:szCs w:val="20"/>
          <w:lang w:val="sk-SK"/>
        </w:rPr>
        <w:t>-----------------------------------------------------</w:t>
      </w:r>
    </w:p>
    <w:p w14:paraId="7481A2DF" w14:textId="347959D8" w:rsidR="00D67607" w:rsidRPr="00E818D9" w:rsidRDefault="00D67607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                                                         </w:t>
      </w:r>
      <w:r w:rsidR="00F04ACE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</w:t>
      </w: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A049DD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šírka </w:t>
      </w:r>
      <w:proofErr w:type="spellStart"/>
      <w:r w:rsidR="00A049DD" w:rsidRPr="00E818D9">
        <w:rPr>
          <w:rFonts w:asciiTheme="majorHAnsi" w:hAnsiTheme="majorHAnsi" w:cstheme="majorHAnsi"/>
          <w:sz w:val="20"/>
          <w:szCs w:val="20"/>
          <w:lang w:val="sk-SK"/>
        </w:rPr>
        <w:t>špáry</w:t>
      </w:r>
      <w:proofErr w:type="spellEnd"/>
      <w:r w:rsidR="00A049DD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(mm) – hĺbka(mm)</w:t>
      </w:r>
    </w:p>
    <w:p w14:paraId="05B0469E" w14:textId="3ECCF21D" w:rsidR="00E86BDA" w:rsidRPr="00E818D9" w:rsidRDefault="00D65043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Obmedzenia 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</w:t>
      </w:r>
      <w:proofErr w:type="spellStart"/>
      <w:r w:rsidR="00E05F59">
        <w:rPr>
          <w:rFonts w:asciiTheme="majorHAnsi" w:hAnsiTheme="majorHAnsi" w:cstheme="majorHAnsi"/>
          <w:sz w:val="20"/>
          <w:szCs w:val="20"/>
          <w:lang w:val="sk-SK"/>
        </w:rPr>
        <w:t>není</w:t>
      </w:r>
      <w:proofErr w:type="spellEnd"/>
      <w:r w:rsidR="00E05F59">
        <w:rPr>
          <w:rFonts w:asciiTheme="majorHAnsi" w:hAnsiTheme="majorHAnsi" w:cstheme="majorHAnsi"/>
          <w:sz w:val="20"/>
          <w:szCs w:val="20"/>
          <w:lang w:val="sk-SK"/>
        </w:rPr>
        <w:t xml:space="preserve"> vhodné </w:t>
      </w:r>
      <w:r w:rsidR="009D67C2">
        <w:rPr>
          <w:rFonts w:asciiTheme="majorHAnsi" w:hAnsiTheme="majorHAnsi" w:cstheme="majorHAnsi"/>
          <w:sz w:val="20"/>
          <w:szCs w:val="20"/>
          <w:lang w:val="sk-SK"/>
        </w:rPr>
        <w:t>pre dlhodobé zaťaženie vodou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</w:t>
      </w:r>
    </w:p>
    <w:p w14:paraId="4862CE1D" w14:textId="7FD411F7" w:rsidR="00080883" w:rsidRPr="0085181A" w:rsidRDefault="00E86BDA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Podklad   </w:t>
      </w:r>
      <w:r w:rsidR="00080883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</w:t>
      </w:r>
      <w:r w:rsidR="009D67C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r w:rsidR="009D67C2">
        <w:rPr>
          <w:rFonts w:asciiTheme="majorHAnsi" w:hAnsiTheme="majorHAnsi" w:cstheme="majorHAnsi"/>
          <w:sz w:val="20"/>
          <w:szCs w:val="20"/>
          <w:lang w:val="sk-SK"/>
        </w:rPr>
        <w:t>musí byť suchý</w:t>
      </w:r>
      <w:r w:rsidR="0085181A">
        <w:rPr>
          <w:rFonts w:asciiTheme="majorHAnsi" w:hAnsiTheme="majorHAnsi" w:cstheme="majorHAnsi"/>
          <w:sz w:val="20"/>
          <w:szCs w:val="20"/>
          <w:lang w:val="sk-SK"/>
        </w:rPr>
        <w:t xml:space="preserve"> ,</w:t>
      </w:r>
      <w:r w:rsidR="009D67C2">
        <w:rPr>
          <w:rFonts w:asciiTheme="majorHAnsi" w:hAnsiTheme="majorHAnsi" w:cstheme="majorHAnsi"/>
          <w:sz w:val="20"/>
          <w:szCs w:val="20"/>
          <w:lang w:val="sk-SK"/>
        </w:rPr>
        <w:t>čistý</w:t>
      </w:r>
      <w:r w:rsidR="001F5CDD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 </w:t>
      </w:r>
      <w:r w:rsidR="0085181A">
        <w:rPr>
          <w:rFonts w:asciiTheme="majorHAnsi" w:hAnsiTheme="majorHAnsi" w:cstheme="majorHAnsi"/>
          <w:sz w:val="20"/>
          <w:szCs w:val="20"/>
          <w:lang w:val="sk-SK"/>
        </w:rPr>
        <w:t xml:space="preserve">, pevný, bez voľných častíc prachu, </w:t>
      </w:r>
      <w:proofErr w:type="spellStart"/>
      <w:r w:rsidR="0085181A">
        <w:rPr>
          <w:rFonts w:asciiTheme="majorHAnsi" w:hAnsiTheme="majorHAnsi" w:cstheme="majorHAnsi"/>
          <w:sz w:val="20"/>
          <w:szCs w:val="20"/>
          <w:lang w:val="sk-SK"/>
        </w:rPr>
        <w:t>masnôt</w:t>
      </w:r>
      <w:proofErr w:type="spellEnd"/>
      <w:r w:rsidR="0085181A">
        <w:rPr>
          <w:rFonts w:asciiTheme="majorHAnsi" w:hAnsiTheme="majorHAnsi" w:cstheme="majorHAnsi"/>
          <w:sz w:val="20"/>
          <w:szCs w:val="20"/>
          <w:lang w:val="sk-SK"/>
        </w:rPr>
        <w:t xml:space="preserve"> a oleja.</w:t>
      </w:r>
    </w:p>
    <w:p w14:paraId="49FDF274" w14:textId="77777777" w:rsidR="005B659B" w:rsidRDefault="005B659B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5B659B">
        <w:rPr>
          <w:rFonts w:asciiTheme="majorHAnsi" w:hAnsiTheme="majorHAnsi" w:cstheme="majorHAnsi"/>
          <w:b/>
          <w:bCs/>
          <w:sz w:val="20"/>
          <w:szCs w:val="20"/>
          <w:lang w:val="sk-SK"/>
        </w:rPr>
        <w:t>Pokyny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</w:t>
      </w:r>
      <w:r w:rsidR="00080883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</w:t>
      </w:r>
      <w:r w:rsidR="0085181A">
        <w:rPr>
          <w:rFonts w:asciiTheme="majorHAnsi" w:hAnsiTheme="majorHAnsi" w:cstheme="majorHAnsi"/>
          <w:sz w:val="20"/>
          <w:szCs w:val="20"/>
          <w:lang w:val="sk-SK"/>
        </w:rPr>
        <w:t>pri použití v</w:t>
      </w:r>
      <w:r w:rsidR="001F0D20">
        <w:rPr>
          <w:rFonts w:asciiTheme="majorHAnsi" w:hAnsiTheme="majorHAnsi" w:cstheme="majorHAnsi"/>
          <w:sz w:val="20"/>
          <w:szCs w:val="20"/>
          <w:lang w:val="sk-SK"/>
        </w:rPr>
        <w:t> </w:t>
      </w:r>
      <w:r w:rsidR="0085181A">
        <w:rPr>
          <w:rFonts w:asciiTheme="majorHAnsi" w:hAnsiTheme="majorHAnsi" w:cstheme="majorHAnsi"/>
          <w:sz w:val="20"/>
          <w:szCs w:val="20"/>
          <w:lang w:val="sk-SK"/>
        </w:rPr>
        <w:t>exteriér</w:t>
      </w:r>
      <w:r w:rsidR="001F0D20">
        <w:rPr>
          <w:rFonts w:asciiTheme="majorHAnsi" w:hAnsiTheme="majorHAnsi" w:cstheme="majorHAnsi"/>
          <w:sz w:val="20"/>
          <w:szCs w:val="20"/>
          <w:lang w:val="sk-SK"/>
        </w:rPr>
        <w:t xml:space="preserve">och je nutné zamedziť minimálne 5 hodín po aplikácii </w:t>
      </w:r>
      <w:r w:rsidR="00860799">
        <w:rPr>
          <w:rFonts w:asciiTheme="majorHAnsi" w:hAnsiTheme="majorHAnsi" w:cstheme="majorHAnsi"/>
          <w:sz w:val="20"/>
          <w:szCs w:val="20"/>
          <w:lang w:val="sk-SK"/>
        </w:rPr>
        <w:t xml:space="preserve">styku </w:t>
      </w:r>
      <w:proofErr w:type="spellStart"/>
      <w:r w:rsidR="00860799">
        <w:rPr>
          <w:rFonts w:asciiTheme="majorHAnsi" w:hAnsiTheme="majorHAnsi" w:cstheme="majorHAnsi"/>
          <w:sz w:val="20"/>
          <w:szCs w:val="20"/>
          <w:lang w:val="sk-SK"/>
        </w:rPr>
        <w:t>svodou</w:t>
      </w:r>
      <w:proofErr w:type="spellEnd"/>
    </w:p>
    <w:p w14:paraId="50060E9C" w14:textId="2D4D7779" w:rsidR="00D56E42" w:rsidRPr="00860799" w:rsidRDefault="005B659B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Čist</w:t>
      </w:r>
      <w:r w:rsidR="00811D98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enie 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</w:t>
      </w:r>
      <w:r w:rsidR="00080883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</w:t>
      </w:r>
      <w:r w:rsidR="00920F4E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materiál </w:t>
      </w:r>
      <w:r w:rsidR="0086079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</w:t>
      </w:r>
      <w:r w:rsidR="00860799">
        <w:rPr>
          <w:rFonts w:asciiTheme="majorHAnsi" w:hAnsiTheme="majorHAnsi" w:cstheme="majorHAnsi"/>
          <w:sz w:val="20"/>
          <w:szCs w:val="20"/>
          <w:lang w:val="sk-SK"/>
        </w:rPr>
        <w:t>technickým benzínom, liehom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a pod. prostriedkami</w:t>
      </w:r>
    </w:p>
    <w:p w14:paraId="1CE7250F" w14:textId="67F95F2C" w:rsidR="00B661B9" w:rsidRPr="00E818D9" w:rsidRDefault="00811D98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Ruky 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r w:rsidR="007A0981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</w:t>
      </w:r>
      <w:r>
        <w:rPr>
          <w:rFonts w:asciiTheme="majorHAnsi" w:hAnsiTheme="majorHAnsi" w:cstheme="majorHAnsi"/>
          <w:sz w:val="20"/>
          <w:szCs w:val="20"/>
          <w:lang w:val="sk-SK"/>
        </w:rPr>
        <w:t>mydlo, voda a krém na ruky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</w:t>
      </w:r>
    </w:p>
    <w:p w14:paraId="1BC90150" w14:textId="77777777" w:rsidR="00CD3335" w:rsidRPr="00E818D9" w:rsidRDefault="002E3D77" w:rsidP="009B01E5">
      <w:pPr>
        <w:spacing w:after="40"/>
        <w:rPr>
          <w:rFonts w:asciiTheme="majorHAnsi" w:hAnsiTheme="majorHAnsi" w:cstheme="majorHAnsi"/>
          <w:sz w:val="20"/>
          <w:szCs w:val="20"/>
          <w:u w:val="single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Aktualizácia    </w:t>
      </w:r>
      <w:r w:rsidR="00CD3335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8.3.2022</w:t>
      </w:r>
    </w:p>
    <w:p w14:paraId="28BFEA92" w14:textId="45B5B575" w:rsidR="00BC49C8" w:rsidRPr="00E818D9" w:rsidRDefault="00836F8D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Výrobok je určení </w:t>
      </w:r>
      <w:proofErr w:type="spellStart"/>
      <w:r w:rsidR="004E6714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profesiónalne</w:t>
      </w:r>
      <w:proofErr w:type="spellEnd"/>
      <w:r w:rsidR="004E6714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 použitie. Všetky informácie a údaje </w:t>
      </w:r>
      <w:r w:rsidR="00867B96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sú založené na objektívnom testovaní, našich skúsenostiach a</w:t>
      </w:r>
      <w:r w:rsidR="005151E0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 </w:t>
      </w:r>
      <w:r w:rsidR="00867B96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predpokladáme</w:t>
      </w:r>
      <w:r w:rsidR="005151E0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, že sú spoľahlivé a presné. Napriek tomu nemô</w:t>
      </w:r>
      <w:r w:rsidR="006871D9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žeme poznať najrôznejšie možnosti použitia ani </w:t>
      </w:r>
      <w:r w:rsidR="00267E70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použité metódy apli</w:t>
      </w:r>
      <w:r w:rsidR="00DE26ED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k</w:t>
      </w:r>
      <w:r w:rsidR="00267E70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ácie, pret</w:t>
      </w:r>
      <w:r w:rsidR="00DE26ED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o neposkytujeme </w:t>
      </w:r>
      <w:r w:rsidR="00460B1E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za žiadnych okolností záruku nad rámec uvedených informácií.</w:t>
      </w:r>
      <w:r w:rsidR="001B5515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 </w:t>
      </w:r>
      <w:r w:rsidR="00B868FE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Uvedené údaje majú všeobecný ch</w:t>
      </w:r>
      <w:r w:rsidR="001B5515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a</w:t>
      </w:r>
      <w:r w:rsidR="00B868FE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rakter. Užívateľ je povinný </w:t>
      </w:r>
      <w:r w:rsidR="001B5515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sa presvedčiť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r w:rsidR="001B5515" w:rsidRPr="00E818D9">
        <w:rPr>
          <w:rFonts w:asciiTheme="majorHAnsi" w:hAnsiTheme="majorHAnsi" w:cstheme="majorHAnsi"/>
          <w:sz w:val="20"/>
          <w:szCs w:val="20"/>
          <w:lang w:val="sk-SK"/>
        </w:rPr>
        <w:t>o</w:t>
      </w:r>
      <w:r w:rsidR="000815DF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 vhodnosti použitia vlastnými skúškami. Pre </w:t>
      </w:r>
      <w:r w:rsidR="00F128E6" w:rsidRPr="00E818D9">
        <w:rPr>
          <w:rFonts w:asciiTheme="majorHAnsi" w:hAnsiTheme="majorHAnsi" w:cstheme="majorHAnsi"/>
          <w:sz w:val="20"/>
          <w:szCs w:val="20"/>
          <w:lang w:val="sk-SK"/>
        </w:rPr>
        <w:t>ďalšie informácie</w:t>
      </w:r>
      <w:r w:rsidR="00F128E6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 </w:t>
      </w:r>
      <w:r w:rsidR="00AD5002"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kontaktujte prosím </w:t>
      </w:r>
      <w:r w:rsidR="00BC49C8" w:rsidRPr="00E818D9">
        <w:rPr>
          <w:rFonts w:asciiTheme="majorHAnsi" w:hAnsiTheme="majorHAnsi" w:cstheme="majorHAnsi"/>
          <w:sz w:val="20"/>
          <w:szCs w:val="20"/>
          <w:lang w:val="sk-SK"/>
        </w:rPr>
        <w:t>naše technické oddelenie.</w:t>
      </w:r>
    </w:p>
    <w:p w14:paraId="6057D240" w14:textId="77777777" w:rsidR="00BC49C8" w:rsidRPr="00E818D9" w:rsidRDefault="00BC49C8" w:rsidP="009B01E5">
      <w:pPr>
        <w:pBdr>
          <w:bottom w:val="single" w:sz="12" w:space="1" w:color="auto"/>
        </w:pBd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</w:p>
    <w:p w14:paraId="5B638779" w14:textId="77777777" w:rsidR="00BC49C8" w:rsidRPr="00E818D9" w:rsidRDefault="00BC49C8" w:rsidP="009B01E5">
      <w:pPr>
        <w:spacing w:after="40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          </w:t>
      </w: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>GYNEX-CHEMALEX s.r.o.</w:t>
      </w:r>
    </w:p>
    <w:p w14:paraId="7D8781B7" w14:textId="77777777" w:rsidR="00DB112D" w:rsidRPr="00E818D9" w:rsidRDefault="00BC49C8" w:rsidP="009B01E5">
      <w:pPr>
        <w:spacing w:after="40"/>
        <w:rPr>
          <w:rFonts w:asciiTheme="majorHAnsi" w:hAnsiTheme="majorHAnsi" w:cstheme="majorHAnsi"/>
          <w:sz w:val="20"/>
          <w:szCs w:val="20"/>
          <w:u w:val="single"/>
          <w:lang w:val="sk-SK"/>
        </w:rPr>
      </w:pPr>
      <w:r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</w:t>
      </w:r>
      <w:r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>Na lánoch 10</w:t>
      </w:r>
      <w:r w:rsidR="000F2955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, Bratislava, Slovakia, Tel.: +421 </w:t>
      </w:r>
      <w:r w:rsidR="00530E12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31 558 6580, </w:t>
      </w:r>
    </w:p>
    <w:p w14:paraId="46D8E155" w14:textId="5AA440C0" w:rsidR="008B47BA" w:rsidRPr="00E818D9" w:rsidRDefault="008C69A3" w:rsidP="009B01E5">
      <w:pPr>
        <w:spacing w:after="40"/>
        <w:rPr>
          <w:rFonts w:asciiTheme="majorHAnsi" w:hAnsiTheme="majorHAnsi" w:cstheme="majorHAnsi"/>
          <w:sz w:val="20"/>
          <w:szCs w:val="20"/>
          <w:u w:val="single"/>
          <w:lang w:val="sk-SK"/>
        </w:rPr>
      </w:pPr>
      <w:hyperlink r:id="rId5" w:history="1">
        <w:r w:rsidR="00DB112D" w:rsidRPr="00E818D9">
          <w:rPr>
            <w:rStyle w:val="Hypertextovprepojenie"/>
            <w:rFonts w:asciiTheme="majorHAnsi" w:hAnsiTheme="majorHAnsi" w:cstheme="majorHAnsi"/>
            <w:sz w:val="20"/>
            <w:szCs w:val="20"/>
            <w:lang w:val="sk-SK"/>
          </w:rPr>
          <w:t>gynexchemalex@gynexchemalex.sk</w:t>
        </w:r>
      </w:hyperlink>
      <w:r w:rsidR="00DB112D" w:rsidRPr="00E818D9">
        <w:rPr>
          <w:rFonts w:asciiTheme="majorHAnsi" w:hAnsiTheme="majorHAnsi" w:cstheme="majorHAnsi"/>
          <w:sz w:val="20"/>
          <w:szCs w:val="20"/>
          <w:u w:val="single"/>
          <w:lang w:val="sk-SK"/>
        </w:rPr>
        <w:t xml:space="preserve"> , www. gynex.sk</w:t>
      </w:r>
      <w:r w:rsidR="008B47BA" w:rsidRPr="00E818D9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       </w:t>
      </w:r>
    </w:p>
    <w:p w14:paraId="31B2259D" w14:textId="77777777" w:rsidR="00F04ACE" w:rsidRPr="00E818D9" w:rsidRDefault="00F04ACE" w:rsidP="009B01E5">
      <w:pPr>
        <w:spacing w:after="40"/>
        <w:rPr>
          <w:rFonts w:asciiTheme="majorHAnsi" w:hAnsiTheme="majorHAnsi" w:cstheme="majorHAnsi"/>
          <w:sz w:val="20"/>
          <w:szCs w:val="20"/>
          <w:u w:val="single"/>
          <w:lang w:val="sk-SK"/>
        </w:rPr>
      </w:pPr>
    </w:p>
    <w:p w14:paraId="468A9789" w14:textId="77777777" w:rsidR="00F04ACE" w:rsidRPr="00E818D9" w:rsidRDefault="00F04ACE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</w:p>
    <w:p w14:paraId="78AFB411" w14:textId="77777777" w:rsidR="00816692" w:rsidRPr="00E818D9" w:rsidRDefault="00816692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</w:p>
    <w:p w14:paraId="15130D52" w14:textId="066B345A" w:rsidR="00D67607" w:rsidRPr="00E818D9" w:rsidRDefault="00D67607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                         </w:t>
      </w:r>
    </w:p>
    <w:p w14:paraId="74612DE0" w14:textId="51AB76B0" w:rsidR="00263948" w:rsidRPr="00E818D9" w:rsidRDefault="00CA16FE" w:rsidP="009B01E5">
      <w:pPr>
        <w:spacing w:after="40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</w:t>
      </w:r>
    </w:p>
    <w:p w14:paraId="7E4C87AC" w14:textId="77777777" w:rsidR="00392B44" w:rsidRPr="00E818D9" w:rsidRDefault="00392B44">
      <w:pPr>
        <w:rPr>
          <w:rFonts w:asciiTheme="majorHAnsi" w:hAnsiTheme="majorHAnsi" w:cstheme="majorHAnsi"/>
          <w:sz w:val="20"/>
          <w:szCs w:val="20"/>
          <w:lang w:val="sk-SK"/>
        </w:rPr>
      </w:pPr>
    </w:p>
    <w:p w14:paraId="49974678" w14:textId="7D613F68" w:rsidR="00D451D6" w:rsidRPr="00E818D9" w:rsidRDefault="00D451D6" w:rsidP="00D451D6">
      <w:pPr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E818D9">
        <w:rPr>
          <w:rFonts w:asciiTheme="majorHAnsi" w:hAnsiTheme="majorHAnsi" w:cstheme="majorHAnsi"/>
          <w:sz w:val="20"/>
          <w:szCs w:val="20"/>
          <w:lang w:val="sk-SK"/>
        </w:rPr>
        <w:t xml:space="preserve">                                                                   </w:t>
      </w:r>
    </w:p>
    <w:p w14:paraId="14E33F30" w14:textId="77777777" w:rsidR="00E06229" w:rsidRPr="00E818D9" w:rsidRDefault="00E06229">
      <w:pPr>
        <w:rPr>
          <w:rFonts w:asciiTheme="majorHAnsi" w:hAnsiTheme="majorHAnsi" w:cstheme="majorHAnsi"/>
          <w:sz w:val="20"/>
          <w:szCs w:val="20"/>
          <w:lang w:val="sk-SK"/>
        </w:rPr>
      </w:pPr>
    </w:p>
    <w:p w14:paraId="425326C4" w14:textId="77777777" w:rsidR="0003584B" w:rsidRPr="00E818D9" w:rsidRDefault="0003584B">
      <w:pPr>
        <w:rPr>
          <w:rFonts w:asciiTheme="majorHAnsi" w:hAnsiTheme="majorHAnsi" w:cstheme="majorHAnsi"/>
          <w:sz w:val="20"/>
          <w:szCs w:val="20"/>
          <w:lang w:val="sk-SK"/>
        </w:rPr>
      </w:pPr>
    </w:p>
    <w:p w14:paraId="4364622B" w14:textId="77777777" w:rsidR="0003584B" w:rsidRPr="000978AC" w:rsidRDefault="0003584B">
      <w:pPr>
        <w:rPr>
          <w:rFonts w:asciiTheme="majorHAnsi" w:hAnsiTheme="majorHAnsi" w:cstheme="majorHAnsi"/>
          <w:i/>
          <w:iCs/>
          <w:sz w:val="20"/>
          <w:szCs w:val="20"/>
          <w:lang w:val="sk-SK"/>
        </w:rPr>
      </w:pPr>
    </w:p>
    <w:sectPr w:rsidR="0003584B" w:rsidRPr="000978AC" w:rsidSect="00C43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B"/>
    <w:rsid w:val="0002062F"/>
    <w:rsid w:val="0003584B"/>
    <w:rsid w:val="00080883"/>
    <w:rsid w:val="000815DF"/>
    <w:rsid w:val="000978AC"/>
    <w:rsid w:val="000A1A7C"/>
    <w:rsid w:val="000A29BC"/>
    <w:rsid w:val="000A6448"/>
    <w:rsid w:val="000F2955"/>
    <w:rsid w:val="00100F5D"/>
    <w:rsid w:val="00180BBD"/>
    <w:rsid w:val="001A764E"/>
    <w:rsid w:val="001B5515"/>
    <w:rsid w:val="001B6E2F"/>
    <w:rsid w:val="001D00E0"/>
    <w:rsid w:val="001F0D20"/>
    <w:rsid w:val="001F5CDD"/>
    <w:rsid w:val="001F5E17"/>
    <w:rsid w:val="00215E7E"/>
    <w:rsid w:val="00221090"/>
    <w:rsid w:val="002579AD"/>
    <w:rsid w:val="00263948"/>
    <w:rsid w:val="00267E70"/>
    <w:rsid w:val="002E3D77"/>
    <w:rsid w:val="002F6637"/>
    <w:rsid w:val="00303F8B"/>
    <w:rsid w:val="00392B44"/>
    <w:rsid w:val="003E3CDA"/>
    <w:rsid w:val="00460B1E"/>
    <w:rsid w:val="004D029C"/>
    <w:rsid w:val="004E6714"/>
    <w:rsid w:val="005151E0"/>
    <w:rsid w:val="005260F7"/>
    <w:rsid w:val="00530E12"/>
    <w:rsid w:val="00553FBF"/>
    <w:rsid w:val="00554D27"/>
    <w:rsid w:val="005B659B"/>
    <w:rsid w:val="00645B6D"/>
    <w:rsid w:val="006609F1"/>
    <w:rsid w:val="006871D9"/>
    <w:rsid w:val="006B454D"/>
    <w:rsid w:val="006D0788"/>
    <w:rsid w:val="006D22B4"/>
    <w:rsid w:val="007030B4"/>
    <w:rsid w:val="007A0981"/>
    <w:rsid w:val="007C332A"/>
    <w:rsid w:val="00807377"/>
    <w:rsid w:val="00811D98"/>
    <w:rsid w:val="00816692"/>
    <w:rsid w:val="00836F8D"/>
    <w:rsid w:val="0085181A"/>
    <w:rsid w:val="00860799"/>
    <w:rsid w:val="00867B96"/>
    <w:rsid w:val="0087400C"/>
    <w:rsid w:val="00881BBB"/>
    <w:rsid w:val="00884F93"/>
    <w:rsid w:val="008A7394"/>
    <w:rsid w:val="008B47BA"/>
    <w:rsid w:val="008C69A3"/>
    <w:rsid w:val="008E641E"/>
    <w:rsid w:val="00920F4E"/>
    <w:rsid w:val="009341D3"/>
    <w:rsid w:val="009B01E5"/>
    <w:rsid w:val="009D67C2"/>
    <w:rsid w:val="009E10B9"/>
    <w:rsid w:val="009F2929"/>
    <w:rsid w:val="00A049DD"/>
    <w:rsid w:val="00A1142B"/>
    <w:rsid w:val="00A47215"/>
    <w:rsid w:val="00AD5002"/>
    <w:rsid w:val="00AE46B9"/>
    <w:rsid w:val="00AF034F"/>
    <w:rsid w:val="00B44093"/>
    <w:rsid w:val="00B661B9"/>
    <w:rsid w:val="00B71420"/>
    <w:rsid w:val="00B868FE"/>
    <w:rsid w:val="00BC49C8"/>
    <w:rsid w:val="00BF1EC3"/>
    <w:rsid w:val="00C43204"/>
    <w:rsid w:val="00C60CED"/>
    <w:rsid w:val="00CA16FE"/>
    <w:rsid w:val="00CA61EC"/>
    <w:rsid w:val="00CC0C51"/>
    <w:rsid w:val="00CD3335"/>
    <w:rsid w:val="00CF67B7"/>
    <w:rsid w:val="00D43496"/>
    <w:rsid w:val="00D451D6"/>
    <w:rsid w:val="00D467F9"/>
    <w:rsid w:val="00D56E42"/>
    <w:rsid w:val="00D65043"/>
    <w:rsid w:val="00D67607"/>
    <w:rsid w:val="00DB112D"/>
    <w:rsid w:val="00DE26ED"/>
    <w:rsid w:val="00E05F59"/>
    <w:rsid w:val="00E06229"/>
    <w:rsid w:val="00E818D9"/>
    <w:rsid w:val="00E86BDA"/>
    <w:rsid w:val="00EE09F0"/>
    <w:rsid w:val="00EE3783"/>
    <w:rsid w:val="00EF6DA7"/>
    <w:rsid w:val="00F04ACE"/>
    <w:rsid w:val="00F128E6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25E7"/>
  <w15:chartTrackingRefBased/>
  <w15:docId w15:val="{ECC2579B-D719-4BA0-9F0B-E9320412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112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nexchemalex@gynexchemalex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kromerova@gynex.sk</dc:creator>
  <cp:keywords/>
  <dc:description/>
  <cp:lastModifiedBy>GYNEX s.r.o.</cp:lastModifiedBy>
  <cp:revision>3</cp:revision>
  <dcterms:created xsi:type="dcterms:W3CDTF">2022-04-14T06:30:00Z</dcterms:created>
  <dcterms:modified xsi:type="dcterms:W3CDTF">2022-04-14T06:30:00Z</dcterms:modified>
</cp:coreProperties>
</file>